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8F8B" w14:textId="13B39BF5" w:rsidR="00713939" w:rsidRDefault="00713939" w:rsidP="00713939">
      <w:pPr>
        <w:jc w:val="center"/>
        <w:rPr>
          <w:b/>
          <w:bCs/>
        </w:rPr>
      </w:pPr>
      <w:r>
        <w:rPr>
          <w:b/>
          <w:bCs/>
          <w:noProof/>
        </w:rPr>
        <w:drawing>
          <wp:anchor distT="0" distB="0" distL="114300" distR="114300" simplePos="0" relativeHeight="251658240" behindDoc="1" locked="0" layoutInCell="1" allowOverlap="1" wp14:anchorId="64070FC3" wp14:editId="5D7048C9">
            <wp:simplePos x="0" y="0"/>
            <wp:positionH relativeFrom="column">
              <wp:posOffset>2401037</wp:posOffset>
            </wp:positionH>
            <wp:positionV relativeFrom="paragraph">
              <wp:posOffset>-495224</wp:posOffset>
            </wp:positionV>
            <wp:extent cx="1067435" cy="1162050"/>
            <wp:effectExtent l="0" t="0" r="0" b="0"/>
            <wp:wrapNone/>
            <wp:docPr id="1721091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743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6E1D5" w14:textId="77777777" w:rsidR="00713939" w:rsidRDefault="00713939" w:rsidP="00713939">
      <w:pPr>
        <w:jc w:val="center"/>
        <w:rPr>
          <w:b/>
          <w:bCs/>
        </w:rPr>
      </w:pPr>
    </w:p>
    <w:p w14:paraId="19498C11" w14:textId="77777777" w:rsidR="00713939" w:rsidRDefault="00713939" w:rsidP="00713939">
      <w:pPr>
        <w:jc w:val="center"/>
        <w:rPr>
          <w:b/>
          <w:bCs/>
        </w:rPr>
      </w:pPr>
    </w:p>
    <w:p w14:paraId="1333C57D" w14:textId="1862970D" w:rsidR="00713939" w:rsidRDefault="00713939" w:rsidP="00713939">
      <w:pPr>
        <w:jc w:val="center"/>
        <w:rPr>
          <w:b/>
          <w:bCs/>
        </w:rPr>
      </w:pPr>
      <w:r w:rsidRPr="00713939">
        <w:rPr>
          <w:b/>
          <w:bCs/>
        </w:rPr>
        <w:t xml:space="preserve">Announcement of </w:t>
      </w:r>
      <w:proofErr w:type="spellStart"/>
      <w:r w:rsidRPr="00713939">
        <w:rPr>
          <w:b/>
          <w:bCs/>
        </w:rPr>
        <w:t>Banglamung</w:t>
      </w:r>
      <w:proofErr w:type="spellEnd"/>
      <w:r w:rsidRPr="00713939">
        <w:rPr>
          <w:b/>
          <w:bCs/>
        </w:rPr>
        <w:t xml:space="preserve"> Provincial Police Station </w:t>
      </w:r>
    </w:p>
    <w:p w14:paraId="0EF3AB91" w14:textId="442C020F" w:rsidR="00713939" w:rsidRDefault="00713939" w:rsidP="00713939">
      <w:pPr>
        <w:jc w:val="center"/>
        <w:rPr>
          <w:b/>
          <w:bCs/>
        </w:rPr>
      </w:pPr>
      <w:r w:rsidRPr="00713939">
        <w:rPr>
          <w:b/>
          <w:bCs/>
        </w:rPr>
        <w:t>Subject: Anti-Bribery Policy for Fiscal Year B.E. 2569 (2026)</w:t>
      </w:r>
    </w:p>
    <w:p w14:paraId="214C4AD7" w14:textId="37F607BA" w:rsidR="00713939" w:rsidRPr="00713939" w:rsidRDefault="00713939" w:rsidP="00713939">
      <w:pPr>
        <w:spacing w:line="276" w:lineRule="auto"/>
        <w:jc w:val="center"/>
        <w:rPr>
          <w:rFonts w:ascii="TH SarabunPSK" w:hAnsi="TH SarabunPSK" w:cs="TH SarabunPSK"/>
        </w:rPr>
      </w:pPr>
      <w:r w:rsidRPr="006C1656">
        <w:rPr>
          <w:rFonts w:ascii="TH SarabunPSK" w:hAnsi="TH SarabunPSK" w:cs="TH SarabunPSK"/>
        </w:rPr>
        <w:t>---------------------------------</w:t>
      </w:r>
    </w:p>
    <w:p w14:paraId="350988E2" w14:textId="781AFAFF" w:rsidR="00713939" w:rsidRPr="00713939" w:rsidRDefault="00713939" w:rsidP="00713939">
      <w:r>
        <w:rPr>
          <w:cs/>
        </w:rPr>
        <w:tab/>
      </w:r>
      <w:r w:rsidRPr="00713939">
        <w:t xml:space="preserve">According to Section 128, Paragraph One of the Organic Act on Anti-Corruption B.E. 2561 (2018), it is prohibited for any state official to receive any property or other benefits that can be calculated in monetary terms from any person, apart from those that are legally entitled under the law, regulations, or rules issued under the authority of the law. Exceptions are made only for receiving property or other benefits in accordance with ethical standards and within the criteria and amounts specified by the National Anti-Corruption Commission. </w:t>
      </w:r>
    </w:p>
    <w:p w14:paraId="49D50A36" w14:textId="3E1C0910" w:rsidR="00713939" w:rsidRPr="00713939" w:rsidRDefault="00713939" w:rsidP="00713939">
      <w:r>
        <w:rPr>
          <w:cs/>
        </w:rPr>
        <w:tab/>
      </w:r>
      <w:r w:rsidRPr="00713939">
        <w:t xml:space="preserve">According to the Code of Ethics for Police Officials B.E. 2564 (2021), Clause 2(2), police officials must perform their duties with honesty and integrity, in compliance with the law and regulations of the Royal Thai Police. They must act transparently, avoid behaviors suggestive of improper personal gain, be accountable to their duties and human rights, be open to scrutiny, possess a strong sense of responsibility, and take social considerations into account. Clause 2(4) further emphasizes prioritizing public interest over personal gain, demonstrating public-mindedness, cooperation, unity, and selflessness in serving the public, as well as promoting societal well-being. </w:t>
      </w:r>
    </w:p>
    <w:p w14:paraId="0CF597BB" w14:textId="5494918A" w:rsidR="00713939" w:rsidRPr="00713939" w:rsidRDefault="00713939" w:rsidP="00713939">
      <w:r>
        <w:rPr>
          <w:cs/>
        </w:rPr>
        <w:tab/>
      </w:r>
      <w:r w:rsidRPr="00713939">
        <w:t xml:space="preserve">Additionally, under the revised National Reform Plan on Anti-Corruption and Misconduct Prevention, one of the key reform activities (Activity 4) focuses on developing a transparent and corruption-free Thai bureaucracy. Objective 1, Item 1.1 requires all government agencies to declare themselves as agencies where no official shall accept any kind of gifts or gratuities arising from the performance of their duties (No Gift Policy). </w:t>
      </w:r>
    </w:p>
    <w:p w14:paraId="44CA99CE" w14:textId="4ACFC745" w:rsidR="00713939" w:rsidRDefault="00713939" w:rsidP="00713939">
      <w:r>
        <w:rPr>
          <w:cs/>
        </w:rPr>
        <w:tab/>
      </w:r>
      <w:r w:rsidRPr="00713939">
        <w:t xml:space="preserve">Therefore, in order to prevent conflicts between personal interests and the public interest (Conflict of Interest), as well as the acceptance of bribes, gifts, gratuities, or any other benefits that may influence the performance of official duties, guidelines have been established for the Anti-Bribery Policy and the No Gift Policy, which prohibits the acceptance of gifts, gratuities, or any other benefits arising from official duties. The details are as follows: </w:t>
      </w:r>
    </w:p>
    <w:p w14:paraId="201C86B3" w14:textId="77777777" w:rsidR="00713939" w:rsidRDefault="00713939">
      <w:r>
        <w:br w:type="page"/>
      </w:r>
    </w:p>
    <w:p w14:paraId="155FAE4A" w14:textId="57554014" w:rsidR="00713939" w:rsidRPr="00713939" w:rsidRDefault="00713939" w:rsidP="00713939">
      <w:pPr>
        <w:jc w:val="center"/>
      </w:pPr>
      <w:r w:rsidRPr="00713939">
        <w:rPr>
          <w:rFonts w:hint="cs"/>
          <w:cs/>
        </w:rPr>
        <w:lastRenderedPageBreak/>
        <w:t>-</w:t>
      </w:r>
      <w:r>
        <w:t xml:space="preserve"> </w:t>
      </w:r>
      <w:r w:rsidRPr="00713939">
        <w:t>2</w:t>
      </w:r>
      <w:r>
        <w:t xml:space="preserve"> </w:t>
      </w:r>
      <w:r w:rsidRPr="00713939">
        <w:t>-</w:t>
      </w:r>
    </w:p>
    <w:p w14:paraId="2B7B4882" w14:textId="01683256" w:rsidR="00713939" w:rsidRPr="00713939" w:rsidRDefault="00713939" w:rsidP="00713939">
      <w:pPr>
        <w:ind w:firstLine="360"/>
      </w:pPr>
      <w:r w:rsidRPr="00713939">
        <w:rPr>
          <w:b/>
          <w:bCs/>
        </w:rPr>
        <w:t>Objectives</w:t>
      </w:r>
    </w:p>
    <w:p w14:paraId="33996072" w14:textId="77777777" w:rsidR="00713939" w:rsidRPr="00713939" w:rsidRDefault="00713939" w:rsidP="00713939">
      <w:pPr>
        <w:numPr>
          <w:ilvl w:val="0"/>
          <w:numId w:val="1"/>
        </w:numPr>
      </w:pPr>
      <w:r w:rsidRPr="00713939">
        <w:t xml:space="preserve">To prevent or reduce opportunities for bribery and conflicts of interest in various forms among police officers under the jurisdiction of </w:t>
      </w:r>
      <w:proofErr w:type="spellStart"/>
      <w:r w:rsidRPr="00713939">
        <w:t>Banglamung</w:t>
      </w:r>
      <w:proofErr w:type="spellEnd"/>
      <w:r w:rsidRPr="00713939">
        <w:t xml:space="preserve"> Provincial Police Station. </w:t>
      </w:r>
    </w:p>
    <w:p w14:paraId="1E15B841" w14:textId="77777777" w:rsidR="00713939" w:rsidRPr="00713939" w:rsidRDefault="00713939" w:rsidP="00713939">
      <w:pPr>
        <w:numPr>
          <w:ilvl w:val="0"/>
          <w:numId w:val="1"/>
        </w:numPr>
      </w:pPr>
      <w:r w:rsidRPr="00713939">
        <w:t xml:space="preserve">To promote awareness among police officers under </w:t>
      </w:r>
      <w:proofErr w:type="spellStart"/>
      <w:r w:rsidRPr="00713939">
        <w:t>Banglamung</w:t>
      </w:r>
      <w:proofErr w:type="spellEnd"/>
      <w:r w:rsidRPr="00713939">
        <w:t xml:space="preserve"> Provincial Police Station in refusing to accept any kind of gifts or gratuities arising from the performance of official duties. </w:t>
      </w:r>
    </w:p>
    <w:p w14:paraId="424A49FD" w14:textId="77777777" w:rsidR="00713939" w:rsidRPr="00713939" w:rsidRDefault="00713939" w:rsidP="00713939">
      <w:pPr>
        <w:numPr>
          <w:ilvl w:val="0"/>
          <w:numId w:val="1"/>
        </w:numPr>
      </w:pPr>
      <w:r w:rsidRPr="00713939">
        <w:t xml:space="preserve">To foster a culture of integrity and transparency (Organization of Integrity) within the public sector, ensuring a strong and sustainable bureaucratic system. </w:t>
      </w:r>
    </w:p>
    <w:p w14:paraId="3705477A" w14:textId="77777777" w:rsidR="00713939" w:rsidRPr="00713939" w:rsidRDefault="00713939" w:rsidP="00713939">
      <w:pPr>
        <w:numPr>
          <w:ilvl w:val="0"/>
          <w:numId w:val="1"/>
        </w:numPr>
      </w:pPr>
      <w:r w:rsidRPr="00713939">
        <w:t xml:space="preserve">To establish measures, guidelines, and mechanisms for preventing the giving or receiving of bribes or any other undue benefits. </w:t>
      </w:r>
    </w:p>
    <w:p w14:paraId="6093E19E" w14:textId="77777777" w:rsidR="00713939" w:rsidRPr="00713939" w:rsidRDefault="00713939" w:rsidP="00713939">
      <w:pPr>
        <w:numPr>
          <w:ilvl w:val="0"/>
          <w:numId w:val="1"/>
        </w:numPr>
      </w:pPr>
      <w:r w:rsidRPr="00713939">
        <w:t xml:space="preserve">To set clear guidelines for the acceptance of hospitality or gifts by executives and police officers under </w:t>
      </w:r>
      <w:proofErr w:type="spellStart"/>
      <w:r w:rsidRPr="00713939">
        <w:t>Banglamung</w:t>
      </w:r>
      <w:proofErr w:type="spellEnd"/>
      <w:r w:rsidRPr="00713939">
        <w:t xml:space="preserve"> Provincial Police Station in accordance with relevant laws, regulations, and rules. </w:t>
      </w:r>
    </w:p>
    <w:p w14:paraId="10820115" w14:textId="28B98EC5" w:rsidR="00713939" w:rsidRPr="00713939" w:rsidRDefault="00713939" w:rsidP="00713939">
      <w:pPr>
        <w:numPr>
          <w:ilvl w:val="0"/>
          <w:numId w:val="1"/>
        </w:numPr>
        <w:spacing w:after="120"/>
      </w:pPr>
      <w:r w:rsidRPr="00713939">
        <w:t xml:space="preserve">To support and enhance the implementation of the National Strategy, the Master Plan under the National Strategy, and the National Reform Plan on the Prevention and Suppression of Corruption and Misconduct. This also serves as part of the framework for the Integrity and Transparency Assessment (ITA) of government agencies. </w:t>
      </w:r>
    </w:p>
    <w:p w14:paraId="79937E95" w14:textId="77777777" w:rsidR="00713939" w:rsidRDefault="00713939" w:rsidP="00713939">
      <w:pPr>
        <w:spacing w:after="120"/>
        <w:ind w:firstLine="360"/>
      </w:pPr>
      <w:r w:rsidRPr="00713939">
        <w:rPr>
          <w:b/>
          <w:bCs/>
        </w:rPr>
        <w:t>Scope of Application</w:t>
      </w:r>
      <w:r w:rsidRPr="00713939">
        <w:t xml:space="preserve"> </w:t>
      </w:r>
    </w:p>
    <w:p w14:paraId="4C1236A4" w14:textId="77777777" w:rsidR="00713939" w:rsidRDefault="00713939" w:rsidP="00713939">
      <w:pPr>
        <w:spacing w:after="120"/>
      </w:pPr>
      <w:r>
        <w:tab/>
      </w:r>
      <w:r w:rsidRPr="00713939">
        <w:t xml:space="preserve">This policy applies to all police officers at </w:t>
      </w:r>
      <w:proofErr w:type="spellStart"/>
      <w:r w:rsidRPr="00713939">
        <w:t>Banglamung</w:t>
      </w:r>
      <w:proofErr w:type="spellEnd"/>
      <w:r w:rsidRPr="00713939">
        <w:t xml:space="preserve"> Provincial Police Station.</w:t>
      </w:r>
    </w:p>
    <w:p w14:paraId="333BA62D" w14:textId="42F281AF" w:rsidR="00713939" w:rsidRPr="00713939" w:rsidRDefault="00713939" w:rsidP="00713939">
      <w:pPr>
        <w:tabs>
          <w:tab w:val="left" w:pos="426"/>
        </w:tabs>
        <w:spacing w:after="120"/>
        <w:ind w:firstLine="426"/>
      </w:pPr>
      <w:r w:rsidRPr="00713939">
        <w:rPr>
          <w:b/>
          <w:bCs/>
        </w:rPr>
        <w:t>Definitions</w:t>
      </w:r>
    </w:p>
    <w:p w14:paraId="1262DD59" w14:textId="6CF3D68C" w:rsidR="00713939" w:rsidRDefault="00713939" w:rsidP="00713939">
      <w:pPr>
        <w:spacing w:after="120"/>
        <w:ind w:left="720" w:firstLine="720"/>
      </w:pPr>
      <w:r>
        <w:rPr>
          <w:b/>
          <w:bCs/>
        </w:rPr>
        <w:t>“</w:t>
      </w:r>
      <w:r w:rsidRPr="00713939">
        <w:rPr>
          <w:b/>
          <w:bCs/>
        </w:rPr>
        <w:t>Bribery</w:t>
      </w:r>
      <w:r>
        <w:rPr>
          <w:b/>
          <w:bCs/>
        </w:rPr>
        <w:t>”</w:t>
      </w:r>
      <w:r w:rsidRPr="00713939">
        <w:t xml:space="preserve"> refers to any property or other benefit given to a person with the intention of inducing that person to act, omit to act, or refrain from acting in their official capacity regardless of whether such action is lawful or unlawful as desired by the person offering the bribe. This includes the acceptance of gifts, gratuities, facilitation payments, tokens of appreciation, donations, entertainment, and other similar benefits when the offer, giving, or receiving can reasonably be considered as bribery. It also includes benefits given or received after the act has occurred. (The acceptance of gifts arising from official duties is different from receiving items based on customary goodwill, which refers to property or other benefits that may be calculated in monetary terms, given on festive or special occasions. Therefore, accepting gifts, gratuities, or tokens in relation to one’s official duties may be considered bribery.) </w:t>
      </w:r>
    </w:p>
    <w:p w14:paraId="682CBC2C" w14:textId="195D1D13" w:rsidR="008337FB" w:rsidRPr="00713939" w:rsidRDefault="008337FB" w:rsidP="008337FB">
      <w:pPr>
        <w:jc w:val="center"/>
      </w:pPr>
      <w:r w:rsidRPr="00713939">
        <w:rPr>
          <w:rFonts w:hint="cs"/>
          <w:cs/>
        </w:rPr>
        <w:lastRenderedPageBreak/>
        <w:t>-</w:t>
      </w:r>
      <w:r>
        <w:t xml:space="preserve"> 3 </w:t>
      </w:r>
      <w:r w:rsidRPr="00713939">
        <w:t>-</w:t>
      </w:r>
    </w:p>
    <w:p w14:paraId="75D2605E" w14:textId="429DBA72" w:rsidR="00713939" w:rsidRPr="00713939" w:rsidRDefault="00713939" w:rsidP="00713939">
      <w:pPr>
        <w:tabs>
          <w:tab w:val="left" w:pos="1560"/>
        </w:tabs>
        <w:ind w:left="720"/>
      </w:pPr>
      <w:r>
        <w:rPr>
          <w:b/>
          <w:bCs/>
        </w:rPr>
        <w:tab/>
        <w:t>“</w:t>
      </w:r>
      <w:r w:rsidRPr="00713939">
        <w:rPr>
          <w:b/>
          <w:bCs/>
        </w:rPr>
        <w:t>Performance of duties</w:t>
      </w:r>
      <w:r>
        <w:rPr>
          <w:b/>
          <w:bCs/>
        </w:rPr>
        <w:t>”</w:t>
      </w:r>
      <w:r w:rsidRPr="00713939">
        <w:t xml:space="preserve"> means any action or conduct carried out by a government official in a position to which they have been appointed, assigned, or designated to act whether on a general or specific basis as a substitute or in an acting capacity. This includes duties performed in the capacity of a police officer as defined by law, or any actions carried out under the authority and responsibilities granted to police officers by law. </w:t>
      </w:r>
    </w:p>
    <w:p w14:paraId="22C7E977" w14:textId="3BE517DD" w:rsidR="00713939" w:rsidRPr="00713939" w:rsidRDefault="00713939" w:rsidP="00713939">
      <w:pPr>
        <w:tabs>
          <w:tab w:val="left" w:pos="1560"/>
        </w:tabs>
        <w:ind w:left="720"/>
      </w:pPr>
      <w:r>
        <w:rPr>
          <w:b/>
          <w:bCs/>
        </w:rPr>
        <w:tab/>
        <w:t>“</w:t>
      </w:r>
      <w:r w:rsidRPr="00713939">
        <w:rPr>
          <w:b/>
          <w:bCs/>
        </w:rPr>
        <w:t>Supervisor</w:t>
      </w:r>
      <w:r>
        <w:rPr>
          <w:b/>
          <w:bCs/>
        </w:rPr>
        <w:t>”</w:t>
      </w:r>
      <w:r w:rsidRPr="00713939">
        <w:t xml:space="preserve"> means a person who has the authority to command, oversee, monitor, and inspect the performance of police officers under their jurisdiction. </w:t>
      </w:r>
    </w:p>
    <w:p w14:paraId="6A5442AF" w14:textId="057FBA1E" w:rsidR="00713939" w:rsidRPr="00713939" w:rsidRDefault="00713939" w:rsidP="00713939">
      <w:pPr>
        <w:tabs>
          <w:tab w:val="left" w:pos="1560"/>
        </w:tabs>
        <w:spacing w:after="120"/>
        <w:ind w:left="720"/>
      </w:pPr>
      <w:r>
        <w:rPr>
          <w:b/>
          <w:bCs/>
        </w:rPr>
        <w:tab/>
        <w:t>“</w:t>
      </w:r>
      <w:r w:rsidRPr="00713939">
        <w:rPr>
          <w:b/>
          <w:bCs/>
        </w:rPr>
        <w:t>Subordinate</w:t>
      </w:r>
      <w:r>
        <w:rPr>
          <w:b/>
          <w:bCs/>
        </w:rPr>
        <w:t>”</w:t>
      </w:r>
      <w:r w:rsidRPr="00713939">
        <w:t xml:space="preserve"> refers to all police officers under the jurisdiction of </w:t>
      </w:r>
      <w:proofErr w:type="spellStart"/>
      <w:r w:rsidRPr="00713939">
        <w:t>Banglamung</w:t>
      </w:r>
      <w:proofErr w:type="spellEnd"/>
      <w:r w:rsidRPr="00713939">
        <w:t xml:space="preserve"> Provincial Police Station, excluding those who are supervisors. </w:t>
      </w:r>
    </w:p>
    <w:p w14:paraId="3D8F2637" w14:textId="03C0251D" w:rsidR="00713939" w:rsidRPr="00713939" w:rsidRDefault="00713939" w:rsidP="00713939">
      <w:pPr>
        <w:tabs>
          <w:tab w:val="left" w:pos="426"/>
        </w:tabs>
      </w:pPr>
      <w:r>
        <w:rPr>
          <w:b/>
          <w:bCs/>
        </w:rPr>
        <w:tab/>
      </w:r>
      <w:r w:rsidRPr="00713939">
        <w:rPr>
          <w:b/>
          <w:bCs/>
        </w:rPr>
        <w:t>Measures for Violating the Policy / Penalties</w:t>
      </w:r>
    </w:p>
    <w:p w14:paraId="37B9E260" w14:textId="77777777" w:rsidR="00713939" w:rsidRPr="00713939" w:rsidRDefault="00713939" w:rsidP="00713939">
      <w:pPr>
        <w:numPr>
          <w:ilvl w:val="0"/>
          <w:numId w:val="3"/>
        </w:numPr>
        <w:tabs>
          <w:tab w:val="clear" w:pos="720"/>
        </w:tabs>
        <w:ind w:left="1134"/>
      </w:pPr>
      <w:r w:rsidRPr="00713939">
        <w:t xml:space="preserve">Any violation of this policy may result in disciplinary action, criminal prosecution, or legal action under relevant laws. This includes direct supervisors who neglect to address violations or are aware of misconduct but fail to take corrective action. Penalties may range from disciplinary measures to dismissal from service. </w:t>
      </w:r>
    </w:p>
    <w:p w14:paraId="712E40E8" w14:textId="77777777" w:rsidR="00713939" w:rsidRPr="00713939" w:rsidRDefault="00713939" w:rsidP="00713939">
      <w:pPr>
        <w:numPr>
          <w:ilvl w:val="0"/>
          <w:numId w:val="3"/>
        </w:numPr>
        <w:tabs>
          <w:tab w:val="clear" w:pos="720"/>
        </w:tabs>
        <w:ind w:left="1134"/>
      </w:pPr>
      <w:r w:rsidRPr="00713939">
        <w:t xml:space="preserve">Lack of awareness of this policy and/or related laws cannot be used as an excuse for non-compliance. </w:t>
      </w:r>
    </w:p>
    <w:p w14:paraId="167D01CA" w14:textId="77777777" w:rsidR="00713939" w:rsidRPr="00713939" w:rsidRDefault="00713939" w:rsidP="00713939">
      <w:pPr>
        <w:numPr>
          <w:ilvl w:val="0"/>
          <w:numId w:val="3"/>
        </w:numPr>
        <w:tabs>
          <w:tab w:val="clear" w:pos="720"/>
        </w:tabs>
        <w:ind w:left="1134"/>
      </w:pPr>
      <w:r w:rsidRPr="00713939">
        <w:t xml:space="preserve">Supervisors, as per the Police Department’s Order No. 1212/2537, dated October 1, 1994, have the authority and responsibility to supervise and ensure that their subordinates strictly adhere to and comply with this policy. </w:t>
      </w:r>
    </w:p>
    <w:p w14:paraId="54BA5F73" w14:textId="7EFC58EB" w:rsidR="00713939" w:rsidRPr="00713939" w:rsidRDefault="00713939" w:rsidP="00713939">
      <w:pPr>
        <w:tabs>
          <w:tab w:val="left" w:pos="426"/>
        </w:tabs>
      </w:pPr>
      <w:r>
        <w:rPr>
          <w:b/>
          <w:bCs/>
        </w:rPr>
        <w:tab/>
      </w:r>
      <w:r w:rsidRPr="00713939">
        <w:rPr>
          <w:b/>
          <w:bCs/>
        </w:rPr>
        <w:t>Monitoring and Evaluation Measures</w:t>
      </w:r>
    </w:p>
    <w:p w14:paraId="0CEC9A0B" w14:textId="77777777" w:rsidR="00713939" w:rsidRPr="00713939" w:rsidRDefault="00713939" w:rsidP="00713939">
      <w:pPr>
        <w:numPr>
          <w:ilvl w:val="0"/>
          <w:numId w:val="4"/>
        </w:numPr>
        <w:tabs>
          <w:tab w:val="clear" w:pos="720"/>
        </w:tabs>
        <w:ind w:left="1134"/>
      </w:pPr>
      <w:r w:rsidRPr="00713939">
        <w:t xml:space="preserve">The Superintendent of </w:t>
      </w:r>
      <w:proofErr w:type="spellStart"/>
      <w:r w:rsidRPr="00713939">
        <w:t>Banglamung</w:t>
      </w:r>
      <w:proofErr w:type="spellEnd"/>
      <w:r w:rsidRPr="00713939">
        <w:t xml:space="preserve"> Provincial Police Station shall announce the commitment to managing the agency with honesty, integrity, transparency, and in accordance with good governance principles. This commitment shall be communicated to all police officers under the jurisdiction and to external stakeholders. </w:t>
      </w:r>
    </w:p>
    <w:p w14:paraId="6BDE549C" w14:textId="77777777" w:rsidR="00713939" w:rsidRDefault="00713939" w:rsidP="00713939">
      <w:pPr>
        <w:numPr>
          <w:ilvl w:val="0"/>
          <w:numId w:val="4"/>
        </w:numPr>
        <w:tabs>
          <w:tab w:val="clear" w:pos="720"/>
        </w:tabs>
        <w:ind w:left="1134"/>
      </w:pPr>
      <w:r w:rsidRPr="00713939">
        <w:t xml:space="preserve">Supervisors, as per the Police Department’s Order No. 1212/2537, dated October 1, 1994, shall have the authority and responsibility to supervise, monitor, and inspect the performance of subordinates under their command, ensuring they comply with the provisions of this policy. If any violations of this policy are found, they must report to the Superintendent of </w:t>
      </w:r>
      <w:proofErr w:type="spellStart"/>
      <w:r w:rsidRPr="00713939">
        <w:t>Banglamung</w:t>
      </w:r>
      <w:proofErr w:type="spellEnd"/>
      <w:r w:rsidRPr="00713939">
        <w:t xml:space="preserve"> Provincial Police Station immediately. </w:t>
      </w:r>
    </w:p>
    <w:p w14:paraId="0DB448E3" w14:textId="77777777" w:rsidR="008337FB" w:rsidRDefault="008337FB" w:rsidP="008337FB">
      <w:pPr>
        <w:ind w:left="1134"/>
      </w:pPr>
    </w:p>
    <w:p w14:paraId="7D1C3CD3" w14:textId="041F3ED6" w:rsidR="008337FB" w:rsidRPr="00713939" w:rsidRDefault="008337FB" w:rsidP="008337FB">
      <w:pPr>
        <w:tabs>
          <w:tab w:val="left" w:pos="4536"/>
        </w:tabs>
        <w:jc w:val="center"/>
      </w:pPr>
      <w:r w:rsidRPr="00713939">
        <w:rPr>
          <w:rFonts w:hint="cs"/>
          <w:cs/>
        </w:rPr>
        <w:lastRenderedPageBreak/>
        <w:t>-</w:t>
      </w:r>
      <w:r>
        <w:t xml:space="preserve"> 4 </w:t>
      </w:r>
      <w:r w:rsidRPr="00713939">
        <w:t>-</w:t>
      </w:r>
    </w:p>
    <w:p w14:paraId="4B60E2DA" w14:textId="77777777" w:rsidR="00713939" w:rsidRPr="00713939" w:rsidRDefault="00713939" w:rsidP="00713939">
      <w:pPr>
        <w:numPr>
          <w:ilvl w:val="0"/>
          <w:numId w:val="4"/>
        </w:numPr>
        <w:tabs>
          <w:tab w:val="clear" w:pos="720"/>
        </w:tabs>
        <w:ind w:left="1134"/>
      </w:pPr>
      <w:proofErr w:type="spellStart"/>
      <w:r w:rsidRPr="00713939">
        <w:t>Banglamung</w:t>
      </w:r>
      <w:proofErr w:type="spellEnd"/>
      <w:r w:rsidRPr="00713939">
        <w:t xml:space="preserve"> Provincial Police Station shall review and update the implementation guidelines as necessary, or according to any significant changes in relevant factors. </w:t>
      </w:r>
    </w:p>
    <w:p w14:paraId="5EEB9A89" w14:textId="77777777" w:rsidR="00713939" w:rsidRPr="00713939" w:rsidRDefault="00713939" w:rsidP="00713939">
      <w:pPr>
        <w:numPr>
          <w:ilvl w:val="0"/>
          <w:numId w:val="4"/>
        </w:numPr>
        <w:tabs>
          <w:tab w:val="clear" w:pos="720"/>
        </w:tabs>
        <w:ind w:left="1134"/>
      </w:pPr>
      <w:r w:rsidRPr="00713939">
        <w:t xml:space="preserve">The administrative department of </w:t>
      </w:r>
      <w:proofErr w:type="spellStart"/>
      <w:r w:rsidRPr="00713939">
        <w:t>Banglamung</w:t>
      </w:r>
      <w:proofErr w:type="spellEnd"/>
      <w:r w:rsidRPr="00713939">
        <w:t xml:space="preserve"> Provincial Police Station shall compile statistical data on bribery, including any issues or obstacles, and report these to the Superintendent on a quarterly basis. </w:t>
      </w:r>
    </w:p>
    <w:p w14:paraId="0F9475B4" w14:textId="42EA0969" w:rsidR="00713939" w:rsidRPr="00713939" w:rsidRDefault="00713939" w:rsidP="00713939">
      <w:pPr>
        <w:tabs>
          <w:tab w:val="left" w:pos="426"/>
        </w:tabs>
      </w:pPr>
      <w:r>
        <w:rPr>
          <w:b/>
          <w:bCs/>
        </w:rPr>
        <w:tab/>
      </w:r>
      <w:r w:rsidRPr="00713939">
        <w:rPr>
          <w:b/>
          <w:bCs/>
        </w:rPr>
        <w:t>Channels for Complaints</w:t>
      </w:r>
    </w:p>
    <w:p w14:paraId="4D743E80" w14:textId="77777777" w:rsidR="00713939" w:rsidRPr="00713939" w:rsidRDefault="00713939" w:rsidP="00713939">
      <w:pPr>
        <w:numPr>
          <w:ilvl w:val="0"/>
          <w:numId w:val="5"/>
        </w:numPr>
        <w:tabs>
          <w:tab w:val="clear" w:pos="720"/>
        </w:tabs>
        <w:ind w:left="1134"/>
      </w:pPr>
      <w:r w:rsidRPr="00713939">
        <w:t xml:space="preserve">In person at </w:t>
      </w:r>
      <w:proofErr w:type="spellStart"/>
      <w:r w:rsidRPr="00713939">
        <w:t>Banglamung</w:t>
      </w:r>
      <w:proofErr w:type="spellEnd"/>
      <w:r w:rsidRPr="00713939">
        <w:t xml:space="preserve"> Police Station </w:t>
      </w:r>
    </w:p>
    <w:p w14:paraId="7F8E929B" w14:textId="2777DFA2" w:rsidR="00713939" w:rsidRPr="00713939" w:rsidRDefault="00713939" w:rsidP="00713939">
      <w:pPr>
        <w:numPr>
          <w:ilvl w:val="0"/>
          <w:numId w:val="5"/>
        </w:numPr>
        <w:tabs>
          <w:tab w:val="clear" w:pos="720"/>
        </w:tabs>
        <w:ind w:left="1134"/>
      </w:pPr>
      <w:r w:rsidRPr="00713939">
        <w:t xml:space="preserve">By Post: </w:t>
      </w:r>
      <w:proofErr w:type="spellStart"/>
      <w:r w:rsidRPr="00713939">
        <w:t>Banglamung</w:t>
      </w:r>
      <w:proofErr w:type="spellEnd"/>
      <w:r w:rsidRPr="00713939">
        <w:t xml:space="preserve"> Police Station, 203 Moo 2 Sukhumvit Road, Na </w:t>
      </w:r>
      <w:proofErr w:type="spellStart"/>
      <w:r w:rsidRPr="00713939">
        <w:t>Kluea</w:t>
      </w:r>
      <w:proofErr w:type="spellEnd"/>
      <w:r w:rsidRPr="00713939">
        <w:t xml:space="preserve"> Subdistrict, Bang</w:t>
      </w:r>
      <w:r>
        <w:t xml:space="preserve"> </w:t>
      </w:r>
      <w:proofErr w:type="spellStart"/>
      <w:r w:rsidRPr="00713939">
        <w:t>Lamung</w:t>
      </w:r>
      <w:proofErr w:type="spellEnd"/>
      <w:r w:rsidRPr="00713939">
        <w:t xml:space="preserve"> District, Chonburi Province 20150 </w:t>
      </w:r>
    </w:p>
    <w:p w14:paraId="1B9B49E9" w14:textId="77777777" w:rsidR="00713939" w:rsidRPr="00713939" w:rsidRDefault="00713939" w:rsidP="00713939">
      <w:pPr>
        <w:numPr>
          <w:ilvl w:val="0"/>
          <w:numId w:val="5"/>
        </w:numPr>
        <w:tabs>
          <w:tab w:val="clear" w:pos="720"/>
        </w:tabs>
        <w:ind w:left="1134"/>
      </w:pPr>
      <w:r w:rsidRPr="00713939">
        <w:t xml:space="preserve">By Phone: 038-221-800 </w:t>
      </w:r>
    </w:p>
    <w:p w14:paraId="2F6F1E07" w14:textId="77777777" w:rsidR="00713939" w:rsidRPr="00713939" w:rsidRDefault="00713939" w:rsidP="00713939">
      <w:pPr>
        <w:numPr>
          <w:ilvl w:val="0"/>
          <w:numId w:val="5"/>
        </w:numPr>
        <w:tabs>
          <w:tab w:val="clear" w:pos="720"/>
        </w:tabs>
        <w:ind w:left="1134"/>
      </w:pPr>
      <w:r w:rsidRPr="00713939">
        <w:t xml:space="preserve">By Fax: 038-221-119 </w:t>
      </w:r>
    </w:p>
    <w:p w14:paraId="54DFB6BA" w14:textId="77777777" w:rsidR="00713939" w:rsidRPr="00713939" w:rsidRDefault="00713939" w:rsidP="00713939">
      <w:pPr>
        <w:numPr>
          <w:ilvl w:val="0"/>
          <w:numId w:val="5"/>
        </w:numPr>
        <w:tabs>
          <w:tab w:val="clear" w:pos="720"/>
        </w:tabs>
        <w:ind w:left="1134"/>
      </w:pPr>
      <w:r w:rsidRPr="00713939">
        <w:t xml:space="preserve">By E-mail: Banglamung@police.p2.go.th </w:t>
      </w:r>
    </w:p>
    <w:p w14:paraId="2571E2A7" w14:textId="77777777" w:rsidR="00713939" w:rsidRPr="00713939" w:rsidRDefault="00713939" w:rsidP="008337FB">
      <w:pPr>
        <w:numPr>
          <w:ilvl w:val="0"/>
          <w:numId w:val="5"/>
        </w:numPr>
        <w:tabs>
          <w:tab w:val="clear" w:pos="720"/>
        </w:tabs>
        <w:spacing w:after="120"/>
        <w:ind w:left="1134" w:hanging="357"/>
      </w:pPr>
      <w:r w:rsidRPr="00713939">
        <w:t xml:space="preserve">By Website: </w:t>
      </w:r>
      <w:hyperlink r:id="rId6" w:tgtFrame="_blank" w:history="1">
        <w:r w:rsidRPr="00713939">
          <w:rPr>
            <w:rStyle w:val="ae"/>
            <w:color w:val="auto"/>
            <w:u w:val="none"/>
          </w:rPr>
          <w:t>https://banglamung.chonburi.police.go.th/</w:t>
        </w:r>
      </w:hyperlink>
    </w:p>
    <w:p w14:paraId="1D10D56C" w14:textId="4FD4E887" w:rsidR="00713939" w:rsidRPr="00713939" w:rsidRDefault="00713939" w:rsidP="00713939">
      <w:pPr>
        <w:tabs>
          <w:tab w:val="left" w:pos="426"/>
        </w:tabs>
      </w:pPr>
      <w:r>
        <w:rPr>
          <w:b/>
          <w:bCs/>
        </w:rPr>
        <w:tab/>
      </w:r>
      <w:r w:rsidRPr="00713939">
        <w:rPr>
          <w:b/>
          <w:bCs/>
          <w:spacing w:val="-10"/>
        </w:rPr>
        <w:t>Measures for Protection of Complainants, Whistleb</w:t>
      </w:r>
      <w:r w:rsidRPr="00713939">
        <w:rPr>
          <w:b/>
          <w:bCs/>
        </w:rPr>
        <w:t>lowers, Witnesses, and Confidentiality</w:t>
      </w:r>
    </w:p>
    <w:p w14:paraId="7DC09F12" w14:textId="77777777" w:rsidR="008337FB" w:rsidRDefault="00713939" w:rsidP="00713939">
      <w:pPr>
        <w:numPr>
          <w:ilvl w:val="0"/>
          <w:numId w:val="6"/>
        </w:numPr>
        <w:tabs>
          <w:tab w:val="clear" w:pos="720"/>
        </w:tabs>
        <w:ind w:left="1134"/>
      </w:pPr>
      <w:r w:rsidRPr="00713939">
        <w:rPr>
          <w:b/>
          <w:bCs/>
        </w:rPr>
        <w:t>Consideration of Complaints:</w:t>
      </w:r>
      <w:r w:rsidRPr="00713939">
        <w:t xml:space="preserve"> The level of confidentiality and protection for the</w:t>
      </w:r>
      <w:r w:rsidR="008337FB">
        <w:t xml:space="preserve"> </w:t>
      </w:r>
      <w:r w:rsidRPr="00713939">
        <w:t xml:space="preserve">parties involved shall be determined in accordance with the regulations on the protection of government secrets, B.E. 2544 (2001). When referring the case to relevant authorities for consideration, the person providing information and the complainant may be at risk of harm. For example, initial complaints accusing a government official should be treated as confidential government matters. If the complaint is an anonymous report, it should only be considered if clear evidence is provided, including any clear circumstantial facts and the identification of specific witnesses. In cases of reporting influential figures, the identity and address of the complainant must be kept confidential. If the identity and address of the complainant are not kept confidential, the relevant authorities must be notified, and protection must be provided for the complainant as follows: "Supervisors must use their discretion to ensure the protection of the complainant, witnesses, and individuals providing information during the investigation. They must ensure that these individuals do not face threats or unfair treatment that may result from the complaint, testimony, or information provided." In cases where the name of the accused is specified, both the complainant and the accused must be protected, as the case has not yet undergone a thorough fact-checking process. There may be a </w:t>
      </w:r>
    </w:p>
    <w:p w14:paraId="71AABFC7" w14:textId="57F4FD79" w:rsidR="008337FB" w:rsidRPr="008337FB" w:rsidRDefault="008337FB" w:rsidP="008337FB">
      <w:pPr>
        <w:pStyle w:val="a9"/>
        <w:tabs>
          <w:tab w:val="left" w:pos="4536"/>
        </w:tabs>
        <w:jc w:val="both"/>
      </w:pPr>
      <w:r>
        <w:lastRenderedPageBreak/>
        <w:tab/>
        <w:t>-</w:t>
      </w:r>
      <w:r w:rsidRPr="008337FB">
        <w:t xml:space="preserve"> </w:t>
      </w:r>
      <w:r>
        <w:t xml:space="preserve">5 </w:t>
      </w:r>
      <w:r w:rsidRPr="008337FB">
        <w:t>-</w:t>
      </w:r>
    </w:p>
    <w:p w14:paraId="29D83EEB" w14:textId="709DD2BE" w:rsidR="00713939" w:rsidRPr="00713939" w:rsidRDefault="00713939" w:rsidP="008337FB">
      <w:pPr>
        <w:ind w:left="1134"/>
      </w:pPr>
      <w:r w:rsidRPr="00713939">
        <w:t xml:space="preserve">risk of false accusations, which could cause harm and damage. If the complainant specifically requests confidentiality or does not wish to have their identity disclosed, the agency must not reveal the complainant’s identity to the accused or any relevant parties, as doing so could result in harm or retaliation against the complainant based on the nature of the complaint. </w:t>
      </w:r>
    </w:p>
    <w:p w14:paraId="67F27710" w14:textId="77777777" w:rsidR="00713939" w:rsidRPr="00713939" w:rsidRDefault="00713939" w:rsidP="008337FB">
      <w:pPr>
        <w:numPr>
          <w:ilvl w:val="0"/>
          <w:numId w:val="6"/>
        </w:numPr>
        <w:ind w:left="1134"/>
      </w:pPr>
      <w:r w:rsidRPr="00713939">
        <w:t xml:space="preserve">When a complaint is filed, the complainant and witnesses will not face any actions that affect their work or livelihood. If any actions are necessary, such as relocating the workplace to prevent the complainant, witness, and accused from meeting, these actions must receive consent from the complainant and witness. </w:t>
      </w:r>
    </w:p>
    <w:p w14:paraId="5BCE9BC5" w14:textId="77777777" w:rsidR="00713939" w:rsidRPr="00713939" w:rsidRDefault="00713939" w:rsidP="008337FB">
      <w:pPr>
        <w:numPr>
          <w:ilvl w:val="0"/>
          <w:numId w:val="6"/>
        </w:numPr>
        <w:ind w:left="1134"/>
      </w:pPr>
      <w:r w:rsidRPr="00713939">
        <w:t xml:space="preserve">Requests from the affected party, complainant, or witness, such as requests for a transfer of workplace or methods of preventing or resolving issues, should be considered by the responsible individuals or agencies as appropriate. </w:t>
      </w:r>
    </w:p>
    <w:p w14:paraId="203AB12E" w14:textId="77777777" w:rsidR="00713939" w:rsidRDefault="00713939" w:rsidP="008337FB">
      <w:pPr>
        <w:numPr>
          <w:ilvl w:val="0"/>
          <w:numId w:val="6"/>
        </w:numPr>
        <w:ind w:left="1134"/>
      </w:pPr>
      <w:r w:rsidRPr="00713939">
        <w:t xml:space="preserve">Protection must be provided to the complainant to ensure they are not subjected to any harassment or retaliation. </w:t>
      </w:r>
    </w:p>
    <w:p w14:paraId="7A7A0B2D" w14:textId="77777777" w:rsidR="008337FB" w:rsidRPr="00713939" w:rsidRDefault="008337FB" w:rsidP="008337FB">
      <w:pPr>
        <w:ind w:left="720"/>
      </w:pPr>
    </w:p>
    <w:p w14:paraId="46749039" w14:textId="2A08B00F" w:rsidR="008337FB" w:rsidRPr="008337FB" w:rsidRDefault="008337FB" w:rsidP="008337FB">
      <w:pPr>
        <w:tabs>
          <w:tab w:val="left" w:pos="567"/>
        </w:tabs>
        <w:ind w:right="-19"/>
        <w:rPr>
          <w:rFonts w:ascii="TH SarabunPSK" w:eastAsia="Times New Roman" w:hAnsi="TH SarabunPSK" w:cs="TH SarabunPSK"/>
        </w:rPr>
      </w:pPr>
      <w:r w:rsidRPr="008337FB">
        <w:rPr>
          <w:rFonts w:ascii="TH SarabunPSK" w:hAnsi="TH SarabunPSK" w:cs="TH SarabunPSK"/>
        </w:rPr>
        <w:tab/>
      </w:r>
      <w:r w:rsidRPr="008337FB">
        <w:rPr>
          <w:rFonts w:ascii="TH SarabunPSK" w:hAnsi="TH SarabunPSK" w:cs="TH SarabunPSK"/>
        </w:rPr>
        <w:tab/>
        <w:t xml:space="preserve">Announced on </w:t>
      </w:r>
      <w:r w:rsidRPr="00946DCD">
        <w:rPr>
          <w:rFonts w:ascii="TH SarabunPSK" w:hAnsi="TH SarabunPSK" w:cs="TH SarabunPSK"/>
        </w:rPr>
        <w:t xml:space="preserve">March </w:t>
      </w:r>
      <w:r w:rsidRPr="00946DCD">
        <w:rPr>
          <w:rFonts w:ascii="TH SarabunPSK" w:hAnsi="TH SarabunPSK" w:cs="TH SarabunPSK" w:hint="cs"/>
          <w:cs/>
        </w:rPr>
        <w:t>20</w:t>
      </w:r>
      <w:r w:rsidRPr="00946DCD">
        <w:rPr>
          <w:rFonts w:ascii="TH SarabunPSK" w:hAnsi="TH SarabunPSK" w:cs="TH SarabunPSK"/>
        </w:rPr>
        <w:t xml:space="preserve">, </w:t>
      </w:r>
      <w:r w:rsidRPr="008337FB">
        <w:rPr>
          <w:rFonts w:ascii="TH SarabunPSK" w:hAnsi="TH SarabunPSK" w:cs="TH SarabunPSK"/>
        </w:rPr>
        <w:t>B.E. 256</w:t>
      </w:r>
      <w:r w:rsidRPr="008337FB">
        <w:rPr>
          <w:rFonts w:ascii="TH SarabunPSK" w:hAnsi="TH SarabunPSK" w:cs="TH SarabunPSK" w:hint="cs"/>
          <w:cs/>
        </w:rPr>
        <w:t>9</w:t>
      </w:r>
      <w:r w:rsidRPr="008337FB">
        <w:rPr>
          <w:rFonts w:ascii="TH SarabunPSK" w:hAnsi="TH SarabunPSK" w:cs="TH SarabunPSK"/>
        </w:rPr>
        <w:t xml:space="preserve"> (202</w:t>
      </w:r>
      <w:r w:rsidRPr="008337FB">
        <w:rPr>
          <w:rFonts w:ascii="TH SarabunPSK" w:hAnsi="TH SarabunPSK" w:cs="TH SarabunPSK" w:hint="cs"/>
          <w:cs/>
        </w:rPr>
        <w:t>6</w:t>
      </w:r>
      <w:r w:rsidRPr="008337FB">
        <w:rPr>
          <w:rFonts w:ascii="TH SarabunPSK" w:hAnsi="TH SarabunPSK" w:cs="TH SarabunPSK"/>
        </w:rPr>
        <w:t>)</w:t>
      </w:r>
    </w:p>
    <w:p w14:paraId="00CDC795" w14:textId="77777777" w:rsidR="008337FB" w:rsidRPr="00E66865" w:rsidRDefault="008337FB" w:rsidP="008337FB">
      <w:pPr>
        <w:pStyle w:val="af2"/>
        <w:spacing w:before="0" w:beforeAutospacing="0" w:after="0" w:afterAutospacing="0"/>
        <w:jc w:val="thaiDistribute"/>
        <w:rPr>
          <w:rFonts w:ascii="TH SarabunPSK" w:hAnsi="TH SarabunPSK" w:cs="TH SarabunPSK"/>
          <w:sz w:val="32"/>
          <w:szCs w:val="32"/>
          <w:cs/>
        </w:rPr>
      </w:pPr>
      <w:r w:rsidRPr="002C5AD3">
        <w:rPr>
          <w:rFonts w:ascii="TH SarabunPSK" w:hAnsi="TH SarabunPSK" w:cs="TH SarabunPSK"/>
          <w:sz w:val="32"/>
          <w:szCs w:val="32"/>
          <w:cs/>
        </w:rPr>
        <w:tab/>
      </w:r>
      <w:r w:rsidRPr="002C5AD3">
        <w:rPr>
          <w:rFonts w:ascii="TH SarabunPSK" w:hAnsi="TH SarabunPSK" w:cs="TH SarabunPSK"/>
          <w:sz w:val="32"/>
          <w:szCs w:val="32"/>
          <w:cs/>
        </w:rPr>
        <w:tab/>
      </w:r>
      <w:r w:rsidRPr="00E66865">
        <w:rPr>
          <w:rFonts w:ascii="TH SarabunPSK" w:hAnsi="TH SarabunPSK" w:cs="TH SarabunPSK"/>
          <w:sz w:val="36"/>
          <w:szCs w:val="36"/>
          <w:cs/>
        </w:rPr>
        <w:tab/>
      </w:r>
    </w:p>
    <w:p w14:paraId="716E5B25" w14:textId="4B253EB1" w:rsidR="008337FB" w:rsidRPr="004015CA" w:rsidRDefault="008337FB" w:rsidP="008337FB">
      <w:pPr>
        <w:pStyle w:val="af0"/>
        <w:tabs>
          <w:tab w:val="left" w:pos="851"/>
        </w:tabs>
        <w:spacing w:before="360" w:line="276" w:lineRule="auto"/>
        <w:jc w:val="thaiDistribute"/>
        <w:rPr>
          <w:rFonts w:ascii="TH SarabunPSK" w:hAnsi="TH SarabunPSK" w:cs="TH SarabunPSK"/>
        </w:rPr>
      </w:pPr>
      <w:r w:rsidRPr="002C5AD3">
        <w:rPr>
          <w:rFonts w:ascii="TH SarabunPSK" w:hAnsi="TH SarabunPSK" w:cs="TH SarabunPSK"/>
          <w:cs/>
        </w:rPr>
        <w:t xml:space="preserve">                                               </w:t>
      </w:r>
      <w:r w:rsidRPr="002C5AD3">
        <w:rPr>
          <w:rFonts w:ascii="TH SarabunPSK" w:hAnsi="TH SarabunPSK" w:cs="TH SarabunPSK"/>
        </w:rPr>
        <w:t xml:space="preserve"> </w:t>
      </w:r>
      <w:r w:rsidRPr="004015CA">
        <w:rPr>
          <w:rFonts w:ascii="TH SarabunPSK" w:hAnsi="TH SarabunPSK" w:cs="TH SarabunPSK"/>
        </w:rPr>
        <w:t xml:space="preserve"> Police Colonel</w:t>
      </w:r>
      <w:r>
        <w:rPr>
          <w:rFonts w:ascii="TH SarabunPSK" w:hAnsi="TH SarabunPSK" w:cs="TH SarabunPSK" w:hint="cs"/>
          <w:cs/>
        </w:rPr>
        <w:t xml:space="preserve">    </w:t>
      </w:r>
      <w:r w:rsidRPr="00BF1FDE">
        <w:rPr>
          <w:noProof/>
        </w:rPr>
        <w:drawing>
          <wp:inline distT="0" distB="0" distL="0" distR="0" wp14:anchorId="014EC8A8" wp14:editId="4B8868B1">
            <wp:extent cx="1183005" cy="730885"/>
            <wp:effectExtent l="0" t="0" r="0" b="0"/>
            <wp:docPr id="891126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730885"/>
                    </a:xfrm>
                    <a:prstGeom prst="rect">
                      <a:avLst/>
                    </a:prstGeom>
                    <a:noFill/>
                    <a:ln>
                      <a:noFill/>
                    </a:ln>
                  </pic:spPr>
                </pic:pic>
              </a:graphicData>
            </a:graphic>
          </wp:inline>
        </w:drawing>
      </w:r>
    </w:p>
    <w:p w14:paraId="31AB873D" w14:textId="77777777" w:rsidR="008337FB" w:rsidRPr="002C5AD3" w:rsidRDefault="008337FB" w:rsidP="008337FB">
      <w:pPr>
        <w:pStyle w:val="af0"/>
        <w:tabs>
          <w:tab w:val="left" w:pos="851"/>
        </w:tabs>
        <w:spacing w:line="276" w:lineRule="auto"/>
        <w:ind w:right="-1"/>
        <w:jc w:val="thaiDistribute"/>
        <w:rPr>
          <w:rFonts w:ascii="TH SarabunPSK" w:hAnsi="TH SarabunPSK" w:cs="TH SarabunPSK"/>
        </w:rPr>
      </w:pPr>
      <w:r w:rsidRPr="002C5AD3">
        <w:rPr>
          <w:rFonts w:ascii="TH SarabunPSK" w:hAnsi="TH SarabunPSK" w:cs="TH SarabunPSK"/>
          <w:cs/>
        </w:rPr>
        <w:t xml:space="preserve">                                                               </w:t>
      </w:r>
      <w:r w:rsidRPr="002C5AD3">
        <w:rPr>
          <w:rFonts w:ascii="TH SarabunPSK" w:hAnsi="TH SarabunPSK" w:cs="TH SarabunPSK"/>
        </w:rPr>
        <w:t xml:space="preserve"> </w:t>
      </w:r>
      <w:r w:rsidRPr="002C5AD3">
        <w:rPr>
          <w:rFonts w:ascii="TH SarabunPSK" w:hAnsi="TH SarabunPSK" w:cs="TH SarabunPSK"/>
          <w:cs/>
        </w:rPr>
        <w:t xml:space="preserve">  </w:t>
      </w:r>
      <w:r>
        <w:rPr>
          <w:rFonts w:ascii="TH SarabunPSK" w:hAnsi="TH SarabunPSK" w:cs="TH SarabunPSK" w:hint="cs"/>
          <w:cs/>
        </w:rPr>
        <w:t xml:space="preserve">   </w:t>
      </w:r>
      <w:r w:rsidRPr="002C5AD3">
        <w:rPr>
          <w:rFonts w:ascii="TH SarabunPSK" w:hAnsi="TH SarabunPSK" w:cs="TH SarabunPSK"/>
          <w:cs/>
        </w:rPr>
        <w:t xml:space="preserve"> (</w:t>
      </w:r>
      <w:r w:rsidRPr="008D3854">
        <w:rPr>
          <w:rFonts w:ascii="TH SarabunPSK" w:eastAsia="Times New Roman" w:hAnsi="TH SarabunPSK" w:cs="TH SarabunPSK"/>
        </w:rPr>
        <w:t xml:space="preserve">Sarawut </w:t>
      </w:r>
      <w:proofErr w:type="spellStart"/>
      <w:r w:rsidRPr="008D3854">
        <w:rPr>
          <w:rFonts w:ascii="TH SarabunPSK" w:eastAsia="Times New Roman" w:hAnsi="TH SarabunPSK" w:cs="TH SarabunPSK"/>
        </w:rPr>
        <w:t>Nutchanart</w:t>
      </w:r>
      <w:proofErr w:type="spellEnd"/>
      <w:r w:rsidRPr="002C5AD3">
        <w:rPr>
          <w:rFonts w:ascii="TH SarabunPSK" w:hAnsi="TH SarabunPSK" w:cs="TH SarabunPSK"/>
          <w:cs/>
        </w:rPr>
        <w:t>)</w:t>
      </w:r>
    </w:p>
    <w:p w14:paraId="1C700AA6" w14:textId="77777777" w:rsidR="008337FB" w:rsidRPr="002C5AD3" w:rsidRDefault="008337FB" w:rsidP="008337FB">
      <w:pPr>
        <w:pStyle w:val="af0"/>
        <w:tabs>
          <w:tab w:val="left" w:pos="851"/>
        </w:tabs>
        <w:spacing w:line="276" w:lineRule="auto"/>
        <w:ind w:right="-1"/>
        <w:jc w:val="thaiDistribute"/>
        <w:rPr>
          <w:rFonts w:ascii="TH SarabunPSK" w:hAnsi="TH SarabunPSK" w:cs="TH SarabunPSK"/>
        </w:rPr>
      </w:pPr>
      <w:r w:rsidRPr="002C5AD3">
        <w:rPr>
          <w:rFonts w:ascii="TH SarabunPSK" w:hAnsi="TH SarabunPSK" w:cs="TH SarabunPSK"/>
          <w:cs/>
        </w:rPr>
        <w:t xml:space="preserve">                                     </w:t>
      </w:r>
      <w:r w:rsidRPr="002C5AD3">
        <w:rPr>
          <w:rFonts w:ascii="TH SarabunPSK" w:hAnsi="TH SarabunPSK" w:cs="TH SarabunPSK"/>
        </w:rPr>
        <w:t xml:space="preserve"> </w:t>
      </w:r>
      <w:r w:rsidRPr="002C5AD3">
        <w:rPr>
          <w:rFonts w:ascii="TH SarabunPSK" w:hAnsi="TH SarabunPSK" w:cs="TH SarabunPSK"/>
          <w:cs/>
        </w:rPr>
        <w:t xml:space="preserve">    </w:t>
      </w:r>
      <w:r>
        <w:rPr>
          <w:rFonts w:ascii="TH SarabunPSK" w:hAnsi="TH SarabunPSK" w:cs="TH SarabunPSK"/>
          <w:cs/>
        </w:rPr>
        <w:t xml:space="preserve">        </w:t>
      </w:r>
      <w:r>
        <w:rPr>
          <w:rFonts w:ascii="TH SarabunPSK" w:hAnsi="TH SarabunPSK" w:cs="TH SarabunPSK" w:hint="cs"/>
          <w:cs/>
        </w:rPr>
        <w:t xml:space="preserve">     </w:t>
      </w:r>
      <w:r w:rsidRPr="004015CA">
        <w:rPr>
          <w:rFonts w:ascii="TH SarabunPSK" w:hAnsi="TH SarabunPSK" w:cs="TH SarabunPSK"/>
        </w:rPr>
        <w:t xml:space="preserve">Superintendent, </w:t>
      </w:r>
      <w:proofErr w:type="spellStart"/>
      <w:r w:rsidRPr="004015CA">
        <w:rPr>
          <w:rFonts w:ascii="TH SarabunPSK" w:hAnsi="TH SarabunPSK" w:cs="TH SarabunPSK"/>
        </w:rPr>
        <w:t>Banglamung</w:t>
      </w:r>
      <w:proofErr w:type="spellEnd"/>
      <w:r w:rsidRPr="004015CA">
        <w:rPr>
          <w:rFonts w:ascii="TH SarabunPSK" w:hAnsi="TH SarabunPSK" w:cs="TH SarabunPSK"/>
        </w:rPr>
        <w:t xml:space="preserve"> Police Station</w:t>
      </w:r>
    </w:p>
    <w:p w14:paraId="78D7A092" w14:textId="77777777" w:rsidR="006A224C" w:rsidRPr="00713939" w:rsidRDefault="006A224C" w:rsidP="008337FB"/>
    <w:sectPr w:rsidR="006A224C" w:rsidRPr="00713939" w:rsidSect="00846595">
      <w:pgSz w:w="11907" w:h="16840" w:code="9"/>
      <w:pgMar w:top="1418" w:right="1134" w:bottom="1134" w:left="1418" w:header="510" w:footer="510"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DFA"/>
    <w:multiLevelType w:val="multilevel"/>
    <w:tmpl w:val="6312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E6682"/>
    <w:multiLevelType w:val="multilevel"/>
    <w:tmpl w:val="C6FC2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327424"/>
    <w:multiLevelType w:val="multilevel"/>
    <w:tmpl w:val="A2F63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EC217F"/>
    <w:multiLevelType w:val="multilevel"/>
    <w:tmpl w:val="796EF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554600"/>
    <w:multiLevelType w:val="multilevel"/>
    <w:tmpl w:val="8160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891395"/>
    <w:multiLevelType w:val="multilevel"/>
    <w:tmpl w:val="FD10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9773663">
    <w:abstractNumId w:val="3"/>
  </w:num>
  <w:num w:numId="2" w16cid:durableId="1160343992">
    <w:abstractNumId w:val="0"/>
  </w:num>
  <w:num w:numId="3" w16cid:durableId="1049262304">
    <w:abstractNumId w:val="5"/>
  </w:num>
  <w:num w:numId="4" w16cid:durableId="831028241">
    <w:abstractNumId w:val="1"/>
  </w:num>
  <w:num w:numId="5" w16cid:durableId="1164517930">
    <w:abstractNumId w:val="4"/>
  </w:num>
  <w:num w:numId="6" w16cid:durableId="66598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39"/>
    <w:rsid w:val="00227AE4"/>
    <w:rsid w:val="006A224C"/>
    <w:rsid w:val="00707BB1"/>
    <w:rsid w:val="00713939"/>
    <w:rsid w:val="00830E07"/>
    <w:rsid w:val="008337FB"/>
    <w:rsid w:val="00846595"/>
    <w:rsid w:val="00946DCD"/>
    <w:rsid w:val="00975185"/>
    <w:rsid w:val="00E1443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1BBA"/>
  <w15:chartTrackingRefBased/>
  <w15:docId w15:val="{81343ECD-6188-4E0B-89C4-031BB2B2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 New" w:eastAsiaTheme="minorHAnsi" w:hAnsi="TH Sarabun New" w:cs="TH Sarabun New"/>
        <w:kern w:val="2"/>
        <w:sz w:val="32"/>
        <w:szCs w:val="32"/>
        <w:lang w:val="en-US" w:eastAsia="en-US" w:bidi="th-TH"/>
        <w14:ligatures w14:val="standardContextual"/>
      </w:rPr>
    </w:rPrDefault>
    <w:pPrDefault>
      <w:pPr>
        <w:jc w:val="thaiDistribut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393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713939"/>
    <w:pPr>
      <w:keepNext/>
      <w:keepLines/>
      <w:spacing w:before="160" w:after="80"/>
      <w:outlineLvl w:val="1"/>
    </w:pPr>
    <w:rPr>
      <w:rFonts w:asciiTheme="majorHAnsi" w:eastAsiaTheme="majorEastAsia" w:hAnsiTheme="majorHAnsi" w:cstheme="majorBidi"/>
      <w:color w:val="0F4761" w:themeColor="accent1" w:themeShade="BF"/>
      <w:szCs w:val="40"/>
    </w:rPr>
  </w:style>
  <w:style w:type="paragraph" w:styleId="3">
    <w:name w:val="heading 3"/>
    <w:basedOn w:val="a"/>
    <w:next w:val="a"/>
    <w:link w:val="30"/>
    <w:uiPriority w:val="9"/>
    <w:semiHidden/>
    <w:unhideWhenUsed/>
    <w:qFormat/>
    <w:rsid w:val="00713939"/>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4">
    <w:name w:val="heading 4"/>
    <w:basedOn w:val="a"/>
    <w:next w:val="a"/>
    <w:link w:val="40"/>
    <w:uiPriority w:val="9"/>
    <w:semiHidden/>
    <w:unhideWhenUsed/>
    <w:qFormat/>
    <w:rsid w:val="00713939"/>
    <w:pPr>
      <w:keepNext/>
      <w:keepLines/>
      <w:spacing w:before="80" w:after="40"/>
      <w:outlineLvl w:val="3"/>
    </w:pPr>
    <w:rPr>
      <w:rFonts w:asciiTheme="minorHAnsi" w:eastAsiaTheme="majorEastAsia" w:hAnsiTheme="minorHAnsi" w:cstheme="majorBidi"/>
      <w:i/>
      <w:iCs/>
      <w:color w:val="0F4761" w:themeColor="accent1" w:themeShade="BF"/>
      <w:szCs w:val="40"/>
    </w:rPr>
  </w:style>
  <w:style w:type="paragraph" w:styleId="5">
    <w:name w:val="heading 5"/>
    <w:basedOn w:val="a"/>
    <w:next w:val="a"/>
    <w:link w:val="50"/>
    <w:uiPriority w:val="9"/>
    <w:semiHidden/>
    <w:unhideWhenUsed/>
    <w:qFormat/>
    <w:rsid w:val="00713939"/>
    <w:pPr>
      <w:keepNext/>
      <w:keepLines/>
      <w:spacing w:before="80" w:after="40"/>
      <w:outlineLvl w:val="4"/>
    </w:pPr>
    <w:rPr>
      <w:rFonts w:asciiTheme="minorHAnsi" w:eastAsiaTheme="majorEastAsia" w:hAnsiTheme="minorHAnsi" w:cstheme="majorBidi"/>
      <w:color w:val="0F4761" w:themeColor="accent1" w:themeShade="BF"/>
      <w:szCs w:val="40"/>
    </w:rPr>
  </w:style>
  <w:style w:type="paragraph" w:styleId="6">
    <w:name w:val="heading 6"/>
    <w:basedOn w:val="a"/>
    <w:next w:val="a"/>
    <w:link w:val="60"/>
    <w:uiPriority w:val="9"/>
    <w:semiHidden/>
    <w:unhideWhenUsed/>
    <w:qFormat/>
    <w:rsid w:val="00713939"/>
    <w:pPr>
      <w:keepNext/>
      <w:keepLines/>
      <w:spacing w:before="40"/>
      <w:outlineLvl w:val="5"/>
    </w:pPr>
    <w:rPr>
      <w:rFonts w:asciiTheme="minorHAnsi" w:eastAsiaTheme="majorEastAsia" w:hAnsiTheme="minorHAnsi" w:cstheme="majorBidi"/>
      <w:i/>
      <w:iCs/>
      <w:color w:val="595959" w:themeColor="text1" w:themeTint="A6"/>
      <w:szCs w:val="40"/>
    </w:rPr>
  </w:style>
  <w:style w:type="paragraph" w:styleId="7">
    <w:name w:val="heading 7"/>
    <w:basedOn w:val="a"/>
    <w:next w:val="a"/>
    <w:link w:val="70"/>
    <w:uiPriority w:val="9"/>
    <w:semiHidden/>
    <w:unhideWhenUsed/>
    <w:qFormat/>
    <w:rsid w:val="00713939"/>
    <w:pPr>
      <w:keepNext/>
      <w:keepLines/>
      <w:spacing w:before="40"/>
      <w:outlineLvl w:val="6"/>
    </w:pPr>
    <w:rPr>
      <w:rFonts w:asciiTheme="minorHAnsi" w:eastAsiaTheme="majorEastAsia" w:hAnsiTheme="minorHAnsi" w:cstheme="majorBidi"/>
      <w:color w:val="595959" w:themeColor="text1" w:themeTint="A6"/>
      <w:szCs w:val="40"/>
    </w:rPr>
  </w:style>
  <w:style w:type="paragraph" w:styleId="8">
    <w:name w:val="heading 8"/>
    <w:basedOn w:val="a"/>
    <w:next w:val="a"/>
    <w:link w:val="80"/>
    <w:uiPriority w:val="9"/>
    <w:semiHidden/>
    <w:unhideWhenUsed/>
    <w:qFormat/>
    <w:rsid w:val="00713939"/>
    <w:pPr>
      <w:keepNext/>
      <w:keepLines/>
      <w:outlineLvl w:val="7"/>
    </w:pPr>
    <w:rPr>
      <w:rFonts w:asciiTheme="minorHAnsi" w:eastAsiaTheme="majorEastAsia" w:hAnsiTheme="minorHAnsi" w:cstheme="majorBidi"/>
      <w:i/>
      <w:iCs/>
      <w:color w:val="272727" w:themeColor="text1" w:themeTint="D8"/>
      <w:szCs w:val="40"/>
    </w:rPr>
  </w:style>
  <w:style w:type="paragraph" w:styleId="9">
    <w:name w:val="heading 9"/>
    <w:basedOn w:val="a"/>
    <w:next w:val="a"/>
    <w:link w:val="90"/>
    <w:uiPriority w:val="9"/>
    <w:semiHidden/>
    <w:unhideWhenUsed/>
    <w:qFormat/>
    <w:rsid w:val="00713939"/>
    <w:pPr>
      <w:keepNext/>
      <w:keepLines/>
      <w:outlineLvl w:val="8"/>
    </w:pPr>
    <w:rPr>
      <w:rFonts w:asciiTheme="minorHAnsi" w:eastAsiaTheme="majorEastAsia" w:hAnsiTheme="minorHAnsi" w:cstheme="majorBidi"/>
      <w:color w:val="272727" w:themeColor="text1" w:themeTint="D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713939"/>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713939"/>
    <w:rPr>
      <w:rFonts w:asciiTheme="majorHAnsi" w:eastAsiaTheme="majorEastAsia" w:hAnsiTheme="majorHAnsi" w:cstheme="majorBidi"/>
      <w:color w:val="0F4761" w:themeColor="accent1" w:themeShade="BF"/>
      <w:szCs w:val="40"/>
    </w:rPr>
  </w:style>
  <w:style w:type="character" w:customStyle="1" w:styleId="30">
    <w:name w:val="หัวเรื่อง 3 อักขระ"/>
    <w:basedOn w:val="a0"/>
    <w:link w:val="3"/>
    <w:uiPriority w:val="9"/>
    <w:semiHidden/>
    <w:rsid w:val="00713939"/>
    <w:rPr>
      <w:rFonts w:asciiTheme="minorHAnsi" w:eastAsiaTheme="majorEastAsia" w:hAnsiTheme="minorHAnsi" w:cstheme="majorBidi"/>
      <w:color w:val="0F4761" w:themeColor="accent1" w:themeShade="BF"/>
      <w:sz w:val="28"/>
      <w:szCs w:val="35"/>
    </w:rPr>
  </w:style>
  <w:style w:type="character" w:customStyle="1" w:styleId="40">
    <w:name w:val="หัวเรื่อง 4 อักขระ"/>
    <w:basedOn w:val="a0"/>
    <w:link w:val="4"/>
    <w:uiPriority w:val="9"/>
    <w:semiHidden/>
    <w:rsid w:val="00713939"/>
    <w:rPr>
      <w:rFonts w:asciiTheme="minorHAnsi" w:eastAsiaTheme="majorEastAsia" w:hAnsiTheme="minorHAnsi" w:cstheme="majorBidi"/>
      <w:i/>
      <w:iCs/>
      <w:color w:val="0F4761" w:themeColor="accent1" w:themeShade="BF"/>
      <w:szCs w:val="40"/>
    </w:rPr>
  </w:style>
  <w:style w:type="character" w:customStyle="1" w:styleId="50">
    <w:name w:val="หัวเรื่อง 5 อักขระ"/>
    <w:basedOn w:val="a0"/>
    <w:link w:val="5"/>
    <w:uiPriority w:val="9"/>
    <w:semiHidden/>
    <w:rsid w:val="00713939"/>
    <w:rPr>
      <w:rFonts w:asciiTheme="minorHAnsi" w:eastAsiaTheme="majorEastAsia" w:hAnsiTheme="minorHAnsi" w:cstheme="majorBidi"/>
      <w:color w:val="0F4761" w:themeColor="accent1" w:themeShade="BF"/>
      <w:szCs w:val="40"/>
    </w:rPr>
  </w:style>
  <w:style w:type="character" w:customStyle="1" w:styleId="60">
    <w:name w:val="หัวเรื่อง 6 อักขระ"/>
    <w:basedOn w:val="a0"/>
    <w:link w:val="6"/>
    <w:uiPriority w:val="9"/>
    <w:semiHidden/>
    <w:rsid w:val="00713939"/>
    <w:rPr>
      <w:rFonts w:asciiTheme="minorHAnsi" w:eastAsiaTheme="majorEastAsia" w:hAnsiTheme="minorHAnsi" w:cstheme="majorBidi"/>
      <w:i/>
      <w:iCs/>
      <w:color w:val="595959" w:themeColor="text1" w:themeTint="A6"/>
      <w:szCs w:val="40"/>
    </w:rPr>
  </w:style>
  <w:style w:type="character" w:customStyle="1" w:styleId="70">
    <w:name w:val="หัวเรื่อง 7 อักขระ"/>
    <w:basedOn w:val="a0"/>
    <w:link w:val="7"/>
    <w:uiPriority w:val="9"/>
    <w:semiHidden/>
    <w:rsid w:val="00713939"/>
    <w:rPr>
      <w:rFonts w:asciiTheme="minorHAnsi" w:eastAsiaTheme="majorEastAsia" w:hAnsiTheme="minorHAnsi" w:cstheme="majorBidi"/>
      <w:color w:val="595959" w:themeColor="text1" w:themeTint="A6"/>
      <w:szCs w:val="40"/>
    </w:rPr>
  </w:style>
  <w:style w:type="character" w:customStyle="1" w:styleId="80">
    <w:name w:val="หัวเรื่อง 8 อักขระ"/>
    <w:basedOn w:val="a0"/>
    <w:link w:val="8"/>
    <w:uiPriority w:val="9"/>
    <w:semiHidden/>
    <w:rsid w:val="00713939"/>
    <w:rPr>
      <w:rFonts w:asciiTheme="minorHAnsi" w:eastAsiaTheme="majorEastAsia" w:hAnsiTheme="minorHAnsi" w:cstheme="majorBidi"/>
      <w:i/>
      <w:iCs/>
      <w:color w:val="272727" w:themeColor="text1" w:themeTint="D8"/>
      <w:szCs w:val="40"/>
    </w:rPr>
  </w:style>
  <w:style w:type="character" w:customStyle="1" w:styleId="90">
    <w:name w:val="หัวเรื่อง 9 อักขระ"/>
    <w:basedOn w:val="a0"/>
    <w:link w:val="9"/>
    <w:uiPriority w:val="9"/>
    <w:semiHidden/>
    <w:rsid w:val="00713939"/>
    <w:rPr>
      <w:rFonts w:asciiTheme="minorHAnsi" w:eastAsiaTheme="majorEastAsia" w:hAnsiTheme="minorHAnsi" w:cstheme="majorBidi"/>
      <w:color w:val="272727" w:themeColor="text1" w:themeTint="D8"/>
      <w:szCs w:val="40"/>
    </w:rPr>
  </w:style>
  <w:style w:type="paragraph" w:styleId="a3">
    <w:name w:val="Title"/>
    <w:basedOn w:val="a"/>
    <w:next w:val="a"/>
    <w:link w:val="a4"/>
    <w:uiPriority w:val="10"/>
    <w:qFormat/>
    <w:rsid w:val="00713939"/>
    <w:pPr>
      <w:spacing w:after="80"/>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713939"/>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713939"/>
    <w:pPr>
      <w:numPr>
        <w:ilvl w:val="1"/>
      </w:numPr>
      <w:spacing w:after="160"/>
    </w:pPr>
    <w:rPr>
      <w:rFonts w:asciiTheme="minorHAnsi" w:eastAsiaTheme="majorEastAsia" w:hAnsiTheme="minorHAnsi"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713939"/>
    <w:rPr>
      <w:rFonts w:asciiTheme="minorHAnsi" w:eastAsiaTheme="majorEastAsia" w:hAnsiTheme="minorHAnsi" w:cstheme="majorBidi"/>
      <w:color w:val="595959" w:themeColor="text1" w:themeTint="A6"/>
      <w:spacing w:val="15"/>
      <w:sz w:val="28"/>
      <w:szCs w:val="35"/>
    </w:rPr>
  </w:style>
  <w:style w:type="paragraph" w:styleId="a7">
    <w:name w:val="Quote"/>
    <w:basedOn w:val="a"/>
    <w:next w:val="a"/>
    <w:link w:val="a8"/>
    <w:uiPriority w:val="29"/>
    <w:qFormat/>
    <w:rsid w:val="00713939"/>
    <w:pPr>
      <w:spacing w:before="160" w:after="160"/>
      <w:jc w:val="center"/>
    </w:pPr>
    <w:rPr>
      <w:rFonts w:cs="Angsana New"/>
      <w:i/>
      <w:iCs/>
      <w:color w:val="404040" w:themeColor="text1" w:themeTint="BF"/>
      <w:szCs w:val="40"/>
    </w:rPr>
  </w:style>
  <w:style w:type="character" w:customStyle="1" w:styleId="a8">
    <w:name w:val="คำอ้างอิง อักขระ"/>
    <w:basedOn w:val="a0"/>
    <w:link w:val="a7"/>
    <w:uiPriority w:val="29"/>
    <w:rsid w:val="00713939"/>
    <w:rPr>
      <w:rFonts w:cs="Angsana New"/>
      <w:i/>
      <w:iCs/>
      <w:color w:val="404040" w:themeColor="text1" w:themeTint="BF"/>
      <w:szCs w:val="40"/>
    </w:rPr>
  </w:style>
  <w:style w:type="paragraph" w:styleId="a9">
    <w:name w:val="List Paragraph"/>
    <w:basedOn w:val="a"/>
    <w:uiPriority w:val="34"/>
    <w:qFormat/>
    <w:rsid w:val="00713939"/>
    <w:pPr>
      <w:ind w:left="720"/>
      <w:contextualSpacing/>
    </w:pPr>
    <w:rPr>
      <w:rFonts w:cs="Angsana New"/>
      <w:szCs w:val="40"/>
    </w:rPr>
  </w:style>
  <w:style w:type="character" w:styleId="aa">
    <w:name w:val="Intense Emphasis"/>
    <w:basedOn w:val="a0"/>
    <w:uiPriority w:val="21"/>
    <w:qFormat/>
    <w:rsid w:val="00713939"/>
    <w:rPr>
      <w:i/>
      <w:iCs/>
      <w:color w:val="0F4761" w:themeColor="accent1" w:themeShade="BF"/>
    </w:rPr>
  </w:style>
  <w:style w:type="paragraph" w:styleId="ab">
    <w:name w:val="Intense Quote"/>
    <w:basedOn w:val="a"/>
    <w:next w:val="a"/>
    <w:link w:val="ac"/>
    <w:uiPriority w:val="30"/>
    <w:qFormat/>
    <w:rsid w:val="00713939"/>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40"/>
    </w:rPr>
  </w:style>
  <w:style w:type="character" w:customStyle="1" w:styleId="ac">
    <w:name w:val="ทำให้คำอ้างอิงเป็นสีเข้มขึ้น อักขระ"/>
    <w:basedOn w:val="a0"/>
    <w:link w:val="ab"/>
    <w:uiPriority w:val="30"/>
    <w:rsid w:val="00713939"/>
    <w:rPr>
      <w:rFonts w:cs="Angsana New"/>
      <w:i/>
      <w:iCs/>
      <w:color w:val="0F4761" w:themeColor="accent1" w:themeShade="BF"/>
      <w:szCs w:val="40"/>
    </w:rPr>
  </w:style>
  <w:style w:type="character" w:styleId="ad">
    <w:name w:val="Intense Reference"/>
    <w:basedOn w:val="a0"/>
    <w:uiPriority w:val="32"/>
    <w:qFormat/>
    <w:rsid w:val="00713939"/>
    <w:rPr>
      <w:b/>
      <w:bCs/>
      <w:smallCaps/>
      <w:color w:val="0F4761" w:themeColor="accent1" w:themeShade="BF"/>
      <w:spacing w:val="5"/>
    </w:rPr>
  </w:style>
  <w:style w:type="character" w:styleId="ae">
    <w:name w:val="Hyperlink"/>
    <w:basedOn w:val="a0"/>
    <w:uiPriority w:val="99"/>
    <w:unhideWhenUsed/>
    <w:rsid w:val="00713939"/>
    <w:rPr>
      <w:color w:val="467886" w:themeColor="hyperlink"/>
      <w:u w:val="single"/>
    </w:rPr>
  </w:style>
  <w:style w:type="character" w:styleId="af">
    <w:name w:val="Unresolved Mention"/>
    <w:basedOn w:val="a0"/>
    <w:uiPriority w:val="99"/>
    <w:semiHidden/>
    <w:unhideWhenUsed/>
    <w:rsid w:val="00713939"/>
    <w:rPr>
      <w:color w:val="605E5C"/>
      <w:shd w:val="clear" w:color="auto" w:fill="E1DFDD"/>
    </w:rPr>
  </w:style>
  <w:style w:type="paragraph" w:styleId="af0">
    <w:name w:val="Body Text"/>
    <w:basedOn w:val="a"/>
    <w:link w:val="af1"/>
    <w:rsid w:val="008337FB"/>
    <w:pPr>
      <w:jc w:val="left"/>
    </w:pPr>
    <w:rPr>
      <w:rFonts w:ascii="AngsanaUPC" w:eastAsia="Cordia New" w:hAnsi="AngsanaUPC" w:cs="AngsanaUPC"/>
      <w:kern w:val="0"/>
      <w14:ligatures w14:val="none"/>
    </w:rPr>
  </w:style>
  <w:style w:type="character" w:customStyle="1" w:styleId="af1">
    <w:name w:val="เนื้อความ อักขระ"/>
    <w:basedOn w:val="a0"/>
    <w:link w:val="af0"/>
    <w:rsid w:val="008337FB"/>
    <w:rPr>
      <w:rFonts w:ascii="AngsanaUPC" w:eastAsia="Cordia New" w:hAnsi="AngsanaUPC" w:cs="AngsanaUPC"/>
      <w:kern w:val="0"/>
      <w14:ligatures w14:val="none"/>
    </w:rPr>
  </w:style>
  <w:style w:type="paragraph" w:styleId="af2">
    <w:name w:val="Normal (Web)"/>
    <w:basedOn w:val="a"/>
    <w:uiPriority w:val="99"/>
    <w:unhideWhenUsed/>
    <w:rsid w:val="008337FB"/>
    <w:pPr>
      <w:spacing w:before="100" w:beforeAutospacing="1" w:after="100" w:afterAutospacing="1"/>
      <w:jc w:val="left"/>
    </w:pPr>
    <w:rPr>
      <w:rFonts w:ascii="Angsana New" w:eastAsia="Times New Roman" w:hAnsi="Angsana New" w:cs="Angsana New"/>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nglamung.chonburi.police.go.th/"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Ekjitra</dc:creator>
  <cp:keywords/>
  <dc:description/>
  <cp:lastModifiedBy>ศิริภรณ์ ศรีโนนงาม</cp:lastModifiedBy>
  <cp:revision>2</cp:revision>
  <cp:lastPrinted>2026-06-16T07:29:00Z</cp:lastPrinted>
  <dcterms:created xsi:type="dcterms:W3CDTF">2026-06-16T03:28:00Z</dcterms:created>
  <dcterms:modified xsi:type="dcterms:W3CDTF">2026-06-16T07:30:00Z</dcterms:modified>
</cp:coreProperties>
</file>